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</w:pPr>
      <w:r>
        <w:rPr>
          <w:rFonts w:ascii="Arial" w:cs="Arial" w:eastAsia="Arial" w:hAnsi="Arial"/>
          <w:b/>
          <w:bCs/>
          <w:color w:val="1A3C5E"/>
          <w:sz w:val="32"/>
          <w:szCs w:val="32"/>
        </w:rPr>
        <w:t xml:space="preserve">AYHAN DEMIR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2A7DA0"/>
          <w:sz w:val="18"/>
          <w:szCs w:val="18"/>
        </w:rPr>
        <w:t xml:space="preserve">Process Excellence &amp; Governance Transformation Leader  ·  Operational Excellence – AI System Design  ·  Lean Six Sigma Black Belt</w:t>
      </w:r>
    </w:p>
    <w:p>
      <w:pPr>
        <w:spacing w:after="20"/>
      </w:pPr>
      <w:r>
        <w:rPr>
          <w:rFonts w:ascii="Arial" w:cs="Arial" w:eastAsia="Arial" w:hAnsi="Arial"/>
          <w:color w:val="333333"/>
          <w:sz w:val="16"/>
          <w:szCs w:val="16"/>
        </w:rPr>
        <w:t xml:space="preserve">Berlin, Germany  ·  Turkish-German / EU Citizen  ·  +49 172 4627825  ·  ayhandemir7@gmail.com</w:t>
      </w:r>
    </w:p>
    <w:p>
      <w:pPr>
        <w:pBdr>
          <w:bottom w:val="single" w:color="1A3C5E" w:sz="8" w:space="6"/>
        </w:pBdr>
        <w:spacing w:after="140"/>
      </w:pPr>
      <w:r>
        <w:rPr>
          <w:rFonts w:ascii="Arial" w:cs="Arial" w:eastAsia="Arial" w:hAnsi="Arial"/>
          <w:color w:val="333333"/>
          <w:sz w:val="16"/>
          <w:szCs w:val="16"/>
        </w:rPr>
        <w:t xml:space="preserve">linkedin.com/in/ayhan-demir  ·  ayhan-demir-workportfolio.lovable.app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EXECUTIVE SUMMARY</w:t>
      </w:r>
    </w:p>
    <w:p>
      <w:pPr>
        <w:spacing w:after="8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Process Excellence leader and Lean Six Sigma Black Belt with 19 years driving end-to-end process transformation, including 8 years at Amazon EU/WW Customer Service, progressing to Single-Threaded Leader. Sole architect of production AI systems and nine-figure governance programmes, delivered as an individual strategic advisor rather than through headcount, with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$147MM+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confirmed, finance-validated impact.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Future-state process and operating-model design: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designed and facilitated Amazon's first end-to-end Value Stream Optimisation offsite (25+ cross-functional stakeholders), delivering the governance and operating-model framework now standard across Amazon Customer Service; surfaced a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$2.1B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systemic ownership gap, confirmed in a VP-level strategy document.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Agentic AI and human-agent system design: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sole architect of AuditAI, a human-in-the-loop model-auditing framework, prompt architecture, scoring rubric, validation, and the escalation logic that routes edge cases to a human reviewer, validated at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93.5% accuracy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across 10,000 contacts.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Governance and business-case delivery at scale: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$132M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access-governance exposure closed, finance-validated;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$85M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coordinated fraud exposure closed across 5 internal functions and 2 external partners; authored the investment business case behind a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$297MM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3-year programme, approved at Director level.</w:t>
      </w:r>
    </w:p>
    <w:p>
      <w:pPr>
        <w:pStyle w:val="ListParagraph"/>
        <w:numPr>
          <w:ilvl w:val="0"/>
          <w:numId w:val="2"/>
        </w:numPr>
        <w:spacing w:after="0" w:line="252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High-agency delivery under ambiguity: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sole design authority on every engagement above, from problem definition to production, with no team, no vendor, and no existing playbook to follow.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PROFESSIONAL EXPERIENCE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Amazon CS Berlin GmbH  ·  Amazon EU / WW Customer Service</w:t>
      </w:r>
    </w:p>
    <w:p>
      <w:pPr>
        <w:spacing w:after="10" w:before="100"/>
      </w:pPr>
      <w:r>
        <w:rPr>
          <w:rFonts w:ascii="Arial" w:cs="Arial" w:eastAsia="Arial" w:hAnsi="Arial"/>
          <w:b/>
          <w:bCs/>
          <w:color w:val="2A7DA0"/>
          <w:sz w:val="20"/>
          <w:szCs w:val="20"/>
        </w:rPr>
        <w:t xml:space="preserve">Customer Experience Single-Threaded Leader / Process Excellence Senior Advisor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333333"/>
          <w:sz w:val="17"/>
          <w:szCs w:val="17"/>
        </w:rPr>
        <w:t xml:space="preserve">WW CS ACES  ·  Berlin, DE  ·  Feb 2026 – Present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Architected AuditAI, a human-in-the-loop LLM model-auditing framework: designed the prompt architecture, scoring rubric, validation methodology, and the escalation logic that routes edge cases to a human reviewer, solo; achieved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93.5%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CCX-prediction accuracy across a 10,000-contact validation set and cut Audit SLA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70%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(7 days to 2).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Led BUWG Kaizen optimisation across a 15.5M-contact quarterly population (40.6% of Worldwide Consumer CS): SLA improved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80%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, five root-cause-targeted solutions deployed, permanent process ownership established.</w:t>
      </w:r>
    </w:p>
    <w:p>
      <w:pPr>
        <w:pStyle w:val="ListParagraph"/>
        <w:numPr>
          <w:ilvl w:val="0"/>
          <w:numId w:val="2"/>
        </w:numPr>
        <w:spacing w:after="10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Full single-threaded ownership of Heavy Bulky CX across EU5: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28 projects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delivered in the current review period.</w:t>
      </w:r>
    </w:p>
    <w:p>
      <w:pPr>
        <w:spacing w:after="10" w:before="100"/>
      </w:pPr>
      <w:r>
        <w:rPr>
          <w:rFonts w:ascii="Arial" w:cs="Arial" w:eastAsia="Arial" w:hAnsi="Arial"/>
          <w:b/>
          <w:bCs/>
          <w:color w:val="2A7DA0"/>
          <w:sz w:val="20"/>
          <w:szCs w:val="20"/>
        </w:rPr>
        <w:t xml:space="preserve">Process Excellence Senior Advisor / Programme Manager, WW CS ACES</w:t>
      </w:r>
    </w:p>
    <w:p>
      <w:pPr>
        <w:spacing w:after="60"/>
      </w:pPr>
      <w:r>
        <w:rPr>
          <w:rFonts w:ascii="Arial" w:cs="Arial" w:eastAsia="Arial" w:hAnsi="Arial"/>
          <w:i/>
          <w:iCs/>
          <w:color w:val="333333"/>
          <w:sz w:val="17"/>
          <w:szCs w:val="17"/>
        </w:rPr>
        <w:t xml:space="preserve">Berlin, DE  ·  Oct 2022 – Jan 2026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Designed and facilitated Amazon's first end-to-end Value Stream Optimisation offsite (25+ cross-functional stakeholders): mapped current-state operations and delivered the future-state governance and operating-model framework now standard across Customer Service. Surfaced a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$2.1B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systemic ownership gap in fulfilment-centre packing, confirmed in a VP-level strategy document.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Concession Permission Clean-Up (EU7): identified and closed a structural access-governance gap across 1,225 permission groups;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$132M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exposure closed, finance-validated, with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$20.06M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annualised net savings; over-permissioned population cut from 40.03% to 23.97%.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Led a multi-vector fraud investigation into high-value return manipulation: coordinated 5 internal functions and 2 external partners (Apple, DHL) to deploy 4 targeted controls, closing an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$85M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exposure with no added friction for legitimate customers.</w:t>
      </w:r>
    </w:p>
    <w:p>
      <w:pPr>
        <w:pStyle w:val="ListParagraph"/>
        <w:numPr>
          <w:ilvl w:val="0"/>
          <w:numId w:val="2"/>
        </w:numPr>
        <w:spacing w:after="10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Sole author of the ACES Value Offers Framework across 8 iterations, the organisation's investment business case and adoption playbook: adopted at WW scale, informing priorities inside a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$297MM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3-year programme, approved at Head-of-Department and Organisation-Director level.</w:t>
      </w:r>
    </w:p>
    <w:p>
      <w:pPr>
        <w:spacing w:after="10" w:before="60"/>
      </w:pPr>
      <w:r>
        <w:rPr>
          <w:rFonts w:ascii="Arial" w:cs="Arial" w:eastAsia="Arial" w:hAnsi="Arial"/>
          <w:b/>
          <w:bCs/>
          <w:color w:val="2A7DA0"/>
          <w:sz w:val="18"/>
          <w:szCs w:val="18"/>
        </w:rPr>
        <w:t xml:space="preserve">Earlier Amazon Experience (2018 – 2022)</w:t>
      </w:r>
    </w:p>
    <w:p>
      <w:pPr>
        <w:spacing w:after="50"/>
      </w:pPr>
      <w:r>
        <w:rPr>
          <w:rFonts w:ascii="Arial" w:cs="Arial" w:eastAsia="Arial" w:hAnsi="Arial"/>
          <w:i/>
          <w:iCs/>
          <w:color w:val="333333"/>
          <w:sz w:val="17"/>
          <w:szCs w:val="17"/>
        </w:rPr>
        <w:t xml:space="preserve">Senior Continuous Improvement Specialist / Continuous Improvement Specialist, WW CS ACES  ·  Berlin, DE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PLS Multi-Phase Programme: architected and owned a five-phase DMAIC portfolio across Amazon's largest CS contact population, each phase closing one avoidable-contact layer and exposing the root cause beneath it, including Amazon's first ML-powered contact deflection. Compounding impact from $150K to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$15MM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annualised, finance-validated, with a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45%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SLA gain.</w:t>
      </w:r>
    </w:p>
    <w:p>
      <w:pPr>
        <w:pStyle w:val="ListParagraph"/>
        <w:numPr>
          <w:ilvl w:val="0"/>
          <w:numId w:val="2"/>
        </w:numPr>
        <w:spacing w:after="10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Launched Turkish Marketplace CS from zero: node mapping, defect elimination and bot-attack prevention, later extended to the UAE. Founded the Customer Service Mental Health Wellbeing Affinity Group, later scaled to a Worldwide VP-level programme.</w:t>
      </w:r>
    </w:p>
    <w:p>
      <w:pPr>
        <w:spacing w:after="10" w:before="60"/>
      </w:pPr>
      <w:r>
        <w:rPr>
          <w:rFonts w:ascii="Arial" w:cs="Arial" w:eastAsia="Arial" w:hAnsi="Arial"/>
          <w:b/>
          <w:bCs/>
          <w:color w:val="2A7DA0"/>
          <w:sz w:val="18"/>
          <w:szCs w:val="18"/>
        </w:rPr>
        <w:t xml:space="preserve">Prior Experience (2007 – 2018)</w:t>
      </w:r>
    </w:p>
    <w:p>
      <w:pPr>
        <w:spacing w:after="50"/>
      </w:pPr>
      <w:r>
        <w:rPr>
          <w:rFonts w:ascii="Arial" w:cs="Arial" w:eastAsia="Arial" w:hAnsi="Arial"/>
          <w:i/>
          <w:iCs/>
          <w:color w:val="333333"/>
          <w:sz w:val="17"/>
          <w:szCs w:val="17"/>
        </w:rPr>
        <w:t xml:space="preserve">Arçelik A.Ş., Istanbul  ·  Production Engineer to Senior Project Engineer  ·  2009 – 2018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Rotated across paintshop, assembly line, incoming quality control, third-party audit and aftersales customer satisfaction over nine years. Earned Lean Six Sigma Green Belt and Black Belt on live production projects, including a paintshop Design of Experiments study that cut rework from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3.5% to 0.75%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six months, and applied Minitab-based SPC, capability analysis and regression at expert level throughout.</w:t>
      </w:r>
    </w:p>
    <w:p>
      <w:pPr>
        <w:pStyle w:val="ListParagraph"/>
        <w:numPr>
          <w:ilvl w:val="0"/>
          <w:numId w:val="2"/>
        </w:numPr>
        <w:spacing w:after="4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Sole engineer for Arçelik's Romania greenfield plant: designed and built every quality system, laboratory and inspection process from zero, with full Industry 4.0 implementation and cross-plant support across China and Russia.</w:t>
      </w:r>
    </w:p>
    <w:p>
      <w:pPr>
        <w:pStyle w:val="ListParagraph"/>
        <w:numPr>
          <w:ilvl w:val="0"/>
          <w:numId w:val="2"/>
        </w:numPr>
        <w:spacing w:after="100" w:line="252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Career began at Total Teknik, Istanbul (2007 – 2009): designed integrated HVAC and MEP systems across </w:t>
      </w: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30+ commercial projects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in Turkey, including 3M's central office and NTV's studios, coordinating with architects and site engineers from specification through commissioning.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CAREER TRAJECTORY · CONFIRMED IMPACT BY YEAR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2700"/>
        <w:gridCol w:w="6830"/>
      </w:tblGrid>
      <w:tr>
        <w:trPr>
          <w:tblHeader/>
        </w:trPr>
        <w:tc>
          <w:tcPr>
            <w:tcW w:type="dxa" w:w="1100"/>
            <w:shd w:fill="1A3C5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Year</w:t>
            </w:r>
          </w:p>
        </w:tc>
        <w:tc>
          <w:tcPr>
            <w:tcW w:type="dxa" w:w="2700"/>
            <w:shd w:fill="1A3C5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Confirmed Impact</w:t>
            </w:r>
          </w:p>
        </w:tc>
        <w:tc>
          <w:tcPr>
            <w:tcW w:type="dxa" w:w="6830"/>
            <w:shd w:fill="1A3C5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Signature Achievement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2018</w:t>
            </w:r>
          </w:p>
        </w:tc>
        <w:tc>
          <w:tcPr>
            <w:tcW w:type="dxa" w:w="27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$1K</w:t>
            </w:r>
          </w:p>
        </w:tc>
        <w:tc>
          <w:tcPr>
            <w:tcW w:type="dxa" w:w="683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Turkish Marketplace CS launch: node mapping, defect elimination</w:t>
            </w:r>
          </w:p>
        </w:tc>
      </w:tr>
      <w:tr>
        <w:tc>
          <w:tcPr>
            <w:tcW w:type="dxa" w:w="11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2019</w:t>
            </w:r>
          </w:p>
        </w:tc>
        <w:tc>
          <w:tcPr>
            <w:tcW w:type="dxa" w:w="27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$10K</w:t>
            </w:r>
          </w:p>
        </w:tc>
        <w:tc>
          <w:tcPr>
            <w:tcW w:type="dxa" w:w="683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Multi-Kaizen delivery; fraud and bot-attack vector prevention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2020</w:t>
            </w:r>
          </w:p>
        </w:tc>
        <w:tc>
          <w:tcPr>
            <w:tcW w:type="dxa" w:w="27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$150K</w:t>
            </w:r>
          </w:p>
        </w:tc>
        <w:tc>
          <w:tcPr>
            <w:tcW w:type="dxa" w:w="683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EU5 process-excellence framework deployed</w:t>
            </w:r>
          </w:p>
        </w:tc>
      </w:tr>
      <w:tr>
        <w:tc>
          <w:tcPr>
            <w:tcW w:type="dxa" w:w="11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2021</w:t>
            </w:r>
          </w:p>
        </w:tc>
        <w:tc>
          <w:tcPr>
            <w:tcW w:type="dxa" w:w="27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$2MM</w:t>
            </w:r>
          </w:p>
        </w:tc>
        <w:tc>
          <w:tcPr>
            <w:tcW w:type="dxa" w:w="683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PLS ML recommenders deployed; Mental Health Wellbeing group founded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2022</w:t>
            </w:r>
          </w:p>
        </w:tc>
        <w:tc>
          <w:tcPr>
            <w:tcW w:type="dxa" w:w="27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$15MM</w:t>
            </w:r>
          </w:p>
        </w:tc>
        <w:tc>
          <w:tcPr>
            <w:tcW w:type="dxa" w:w="683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PLS programme completed; $85M return-fraud exposure closed</w:t>
            </w:r>
          </w:p>
        </w:tc>
      </w:tr>
      <w:tr>
        <w:tc>
          <w:tcPr>
            <w:tcW w:type="dxa" w:w="11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2023</w:t>
            </w:r>
          </w:p>
        </w:tc>
        <w:tc>
          <w:tcPr>
            <w:tcW w:type="dxa" w:w="27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$130MM</w:t>
            </w:r>
          </w:p>
        </w:tc>
        <w:tc>
          <w:tcPr>
            <w:tcW w:type="dxa" w:w="683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First Amazon-wide governance offsite; $132M GCV closed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2024</w:t>
            </w:r>
          </w:p>
        </w:tc>
        <w:tc>
          <w:tcPr>
            <w:tcW w:type="dxa" w:w="27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$2.1B identified</w:t>
            </w:r>
          </w:p>
        </w:tc>
        <w:tc>
          <w:tcPr>
            <w:tcW w:type="dxa" w:w="683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ACES Value Offers &amp; Delivery Mechanism adopted at WW scale</w:t>
            </w:r>
          </w:p>
        </w:tc>
      </w:tr>
      <w:tr>
        <w:tc>
          <w:tcPr>
            <w:tcW w:type="dxa" w:w="11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2025</w:t>
            </w:r>
          </w:p>
        </w:tc>
        <w:tc>
          <w:tcPr>
            <w:tcW w:type="dxa" w:w="270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SLA +80% / -70%</w:t>
            </w:r>
          </w:p>
        </w:tc>
        <w:tc>
          <w:tcPr>
            <w:tcW w:type="dxa" w:w="6830"/>
            <w:shd w:fill="E7EDF2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AuditAI shipped at 93.5% validated accuracy</w:t>
            </w:r>
          </w:p>
        </w:tc>
      </w:tr>
      <w:tr>
        <w:tc>
          <w:tcPr>
            <w:tcW w:type="dxa" w:w="11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2026</w:t>
            </w:r>
          </w:p>
        </w:tc>
        <w:tc>
          <w:tcPr>
            <w:tcW w:type="dxa" w:w="270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C9841A"/>
                <w:sz w:val="16"/>
                <w:szCs w:val="16"/>
              </w:rPr>
              <w:t xml:space="preserve">28 projects</w:t>
            </w:r>
          </w:p>
        </w:tc>
        <w:tc>
          <w:tcPr>
            <w:tcW w:type="dxa" w:w="6830"/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rFonts w:ascii="Arial" w:cs="Arial" w:eastAsia="Arial" w:hAnsi="Arial"/>
                <w:color w:val="333333"/>
                <w:sz w:val="16"/>
                <w:szCs w:val="16"/>
              </w:rPr>
              <w:t xml:space="preserve">Single-threaded ownership, Heavy Bulky CX EU5</w:t>
            </w:r>
          </w:p>
        </w:tc>
      </w:tr>
    </w:tbl>
    <w:p>
      <w:pPr>
        <w:spacing w:after="100" w:before="80"/>
      </w:pPr>
      <w:r>
        <w:rPr>
          <w:rFonts w:ascii="Arial" w:cs="Arial" w:eastAsia="Arial" w:hAnsi="Arial"/>
          <w:b/>
          <w:bCs/>
          <w:color w:val="C9841A"/>
          <w:sz w:val="19"/>
          <w:szCs w:val="19"/>
        </w:rPr>
        <w:t xml:space="preserve">$147MM+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 confirmed, finance-validated impact across the period above. The $2.1B/2024 line is a systemic opportunity identified and documented, not booked savings, and is reported separately from the confirmed total.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CORE SKILLS &amp; COMPETENCIES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Programme &amp; Governance: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Single-Threaded Leadership · Future-state operating model design · Cross-functional &amp; Director/VP-level stakeholder management · Risk-tiered process controls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AI &amp; Agent Design: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Human-in-the-loop / human-over-the-loop model auditing · Agent experience design (autonomy, escalation, human-agent handoff) · LLM prompt architecture &amp; evaluation design · Agentic AI · Generative AI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Lean / Process Excellence: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Lean Six Sigma Black Belt · DMAIC · Value Stream Mapping · Kaizen facilitation · Root cause analysis · Minitab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Data &amp; Governance: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Regression analysis · Access-governance &amp; permissions design · Fraud investigation &amp; control design · Business-case &amp; investment framing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CERTIFICATIONS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Process Excellence: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Lean Six Sigma Black Belt &amp; Green Belt · AWS Certified Machine Learning – Specialty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Applied AI &amp; Governance (Amazon):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Agentic AI: Essential Concepts for Builders &amp; From Concept to Code · Responsible Artificial Intelligence Practices · Prompt Engineering (Essentials &amp; Foundations) · Developing Generative AI Solutions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Anthropic Academy: </w:t>
      </w:r>
      <w:r>
        <w:rPr>
          <w:rFonts w:ascii="Arial" w:cs="Arial" w:eastAsia="Arial" w:hAnsi="Arial"/>
          <w:color w:val="333333"/>
          <w:sz w:val="19"/>
          <w:szCs w:val="19"/>
        </w:rPr>
        <w:t xml:space="preserve">AI Fluency: Framework &amp; Foundations · Introduction to Claude Cowork · Claude 101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EDUCATION</w:t>
      </w:r>
    </w:p>
    <w:p>
      <w:pPr>
        <w:spacing w:after="10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B.Sc. Mechanical Engineering, Yıldız Technical University, Istanbul</w:t>
      </w:r>
    </w:p>
    <w:p>
      <w:pPr>
        <w:pBdr>
          <w:bottom w:val="single" w:color="1A3C5E" w:sz="6" w:space="2"/>
        </w:pBdr>
        <w:spacing w:after="80" w:before="160"/>
      </w:pPr>
      <w:r>
        <w:rPr>
          <w:rFonts w:ascii="Arial" w:cs="Arial" w:eastAsia="Arial" w:hAnsi="Arial"/>
          <w:b/>
          <w:bCs/>
          <w:color w:val="1A3C5E"/>
          <w:sz w:val="21"/>
          <w:szCs w:val="21"/>
        </w:rPr>
        <w:t xml:space="preserve">AWARDS &amp; LANGUAGES</w:t>
      </w:r>
    </w:p>
    <w:p>
      <w:pPr>
        <w:spacing w:after="4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Once CS Award ×2 · Hackacon Winner 2023 &amp; 2025 · Annual Review 2026: Exceeds High Bar</w:t>
      </w:r>
    </w:p>
    <w:p>
      <w:pPr>
        <w:spacing w:after="100"/>
      </w:pPr>
      <w:r>
        <w:rPr>
          <w:rFonts w:ascii="Arial" w:cs="Arial" w:eastAsia="Arial" w:hAnsi="Arial"/>
          <w:color w:val="333333"/>
          <w:sz w:val="19"/>
          <w:szCs w:val="19"/>
        </w:rPr>
        <w:t xml:space="preserve">English (C2)  ·  German (B1+)  ·  Turkish (native)  ·  Persian (native)</w:t>
      </w:r>
    </w:p>
    <w:p>
      <w:pPr>
        <w:pBdr>
          <w:top w:val="single" w:color="1A3C5E" w:sz="4" w:space="4"/>
        </w:pBdr>
        <w:spacing w:before="60"/>
      </w:pPr>
      <w:r>
        <w:rPr>
          <w:rFonts w:ascii="Arial" w:cs="Arial" w:eastAsia="Arial" w:hAnsi="Arial"/>
          <w:i/>
          <w:iCs/>
          <w:color w:val="333333"/>
          <w:sz w:val="15"/>
          <w:szCs w:val="15"/>
        </w:rPr>
        <w:t xml:space="preserve">Full project portfolio (70+ engagements) and detailed case studies available at ayhan-demir-workportfolio.lovable.app  ·  A detailed Amazon reference letter and Director-level leadership contacts are available upon request.</w:t>
      </w:r>
    </w:p>
    <w:sectPr>
      <w:pgSz w:w="11906" w:h="16838" w:orient="portrait"/>
      <w:pgMar w:top="480" w:right="480" w:bottom="480" w:left="4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9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Ayhan Demir - CV - General</dc:title>
  <dc:creator>Ayhan Demir</dc:creator>
  <cp:lastModifiedBy>Ayhan Demir</cp:lastModifiedBy>
  <cp:revision>1</cp:revision>
  <dcterms:created xsi:type="dcterms:W3CDTF">2026-08-06T12:18:21.864Z</dcterms:created>
  <dcterms:modified xsi:type="dcterms:W3CDTF">2026-08-06T12:18:21.890Z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